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前盆城村2021发展规划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党建方面：以习总书记学党建为契机，号召村两委成员包括全体党员“学党史、悟思想、办实事、开新局”三编三定，把党员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编进各个党小组，定岗位，定责任，定奖惩，借此带动全体群众思想觉悟大提高，心往一处想，劲往一处使，把我村建设成乡村振兴模范村。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产业种植：依托现有的一家合作社，一家家庭农场，准备两年时间全部流转土地，发展经济作物种植，丝瓜大棚种植。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集体经济发展规划：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305省道穿两个自然村而过，又紧邻大村，说明的是：现在两个自然村居住在九十年代油田遗留的房屋中，由于是八十年代建设，年久失修，部分已成危房，面积很小还漏雨，已经远远不能满足现代群众的生活需要。如果要建设新房，面临着是油田遗留建设用地，宅基地确权问题，（老村全部复耕）已成基本农田。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现今两个自然村占地200多亩，又是建设用地，305省道穿村而过，如果能得到政策支持，三村合村并村，能置换出大量耕地和建设用地，宜工则工，宜农则农是发展集体经济的有力支持和基础，这样优越环境，希望能得到上级领导的实地调研，英明决策，国家政策支持，我们村两委定不负重望，打造出一个乡村振兴示范村。</w:t>
      </w: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前盆城村党支部</w:t>
      </w:r>
    </w:p>
    <w:p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前盆城村村民委员会</w:t>
      </w:r>
    </w:p>
    <w:p>
      <w:pPr>
        <w:numPr>
          <w:ilvl w:val="0"/>
          <w:numId w:val="0"/>
        </w:numPr>
        <w:jc w:val="righ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C9F4F"/>
    <w:multiLevelType w:val="singleLevel"/>
    <w:tmpl w:val="057C9F4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9A4419A"/>
    <w:multiLevelType w:val="singleLevel"/>
    <w:tmpl w:val="19A441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6164"/>
    <w:rsid w:val="3C301C09"/>
    <w:rsid w:val="49F847E2"/>
    <w:rsid w:val="4AC37501"/>
    <w:rsid w:val="790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2021-06-07T01:55:00Z</dcterms:created>
  <dc:creator>86138</dc:creator>
  <cp:lastModifiedBy>瑞敏</cp:lastModifiedBy>
  <cp:lastPrinted>2021-06-07T02:35:00Z</cp:lastPrinted>
  <dcterms:modified xsi:type="dcterms:W3CDTF">2021-06-24T04:00:43Z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FE5B5A1029444E49A6F41DB6CACC7489</vt:lpwstr>
  </property>
</Properties>
</file>