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20" w:rsidRPr="001E1702" w:rsidRDefault="00257954">
      <w:pPr>
        <w:spacing w:after="160"/>
        <w:jc w:val="center"/>
        <w:rPr>
          <w:rFonts w:ascii="微软雅黑" w:eastAsia="微软雅黑" w:hAnsi="微软雅黑" w:cs="宋体"/>
          <w:b/>
          <w:sz w:val="40"/>
          <w:szCs w:val="40"/>
        </w:rPr>
      </w:pPr>
      <w:r w:rsidRPr="001E1702">
        <w:rPr>
          <w:rFonts w:ascii="微软雅黑" w:eastAsia="微软雅黑" w:hAnsi="微软雅黑" w:cs="宋体" w:hint="eastAsia"/>
          <w:b/>
          <w:sz w:val="40"/>
          <w:szCs w:val="40"/>
        </w:rPr>
        <w:t>东王</w:t>
      </w:r>
      <w:r w:rsidR="009F2C34" w:rsidRPr="001E1702">
        <w:rPr>
          <w:rFonts w:ascii="微软雅黑" w:eastAsia="微软雅黑" w:hAnsi="微软雅黑" w:cs="宋体"/>
          <w:b/>
          <w:sz w:val="40"/>
          <w:szCs w:val="40"/>
        </w:rPr>
        <w:t>庄村201</w:t>
      </w:r>
      <w:r w:rsidR="0060222B">
        <w:rPr>
          <w:rFonts w:ascii="微软雅黑" w:eastAsia="微软雅黑" w:hAnsi="微软雅黑" w:cs="宋体" w:hint="eastAsia"/>
          <w:b/>
          <w:sz w:val="40"/>
          <w:szCs w:val="40"/>
        </w:rPr>
        <w:t>9</w:t>
      </w:r>
      <w:r w:rsidR="009F2C34" w:rsidRPr="001E1702">
        <w:rPr>
          <w:rFonts w:ascii="微软雅黑" w:eastAsia="微软雅黑" w:hAnsi="微软雅黑" w:cs="宋体"/>
          <w:b/>
          <w:sz w:val="40"/>
          <w:szCs w:val="40"/>
        </w:rPr>
        <w:t>年工作总结</w:t>
      </w:r>
    </w:p>
    <w:p w:rsidR="00B41A20" w:rsidRPr="009D01F3" w:rsidRDefault="009F2C34">
      <w:pPr>
        <w:spacing w:after="160" w:line="60" w:lineRule="auto"/>
        <w:ind w:firstLine="560"/>
        <w:rPr>
          <w:rFonts w:ascii="微软雅黑" w:eastAsia="微软雅黑" w:hAnsi="微软雅黑" w:cs="仿宋_GB2312"/>
          <w:color w:val="000000"/>
          <w:sz w:val="28"/>
          <w:szCs w:val="28"/>
        </w:rPr>
      </w:pPr>
      <w:r w:rsidRPr="009D01F3">
        <w:rPr>
          <w:rFonts w:ascii="微软雅黑" w:eastAsia="微软雅黑" w:hAnsi="微软雅黑"/>
          <w:b/>
          <w:sz w:val="28"/>
          <w:szCs w:val="28"/>
        </w:rPr>
        <w:t xml:space="preserve"> </w:t>
      </w:r>
      <w:r w:rsidR="00257954" w:rsidRPr="009D01F3">
        <w:rPr>
          <w:rFonts w:ascii="微软雅黑" w:eastAsia="微软雅黑" w:hAnsi="微软雅黑"/>
          <w:b/>
          <w:sz w:val="28"/>
          <w:szCs w:val="28"/>
        </w:rPr>
        <w:t>东王</w:t>
      </w:r>
      <w:r w:rsidRPr="009D01F3">
        <w:rPr>
          <w:rFonts w:ascii="微软雅黑" w:eastAsia="微软雅黑" w:hAnsi="微软雅黑" w:cs="仿宋_GB2312"/>
          <w:sz w:val="28"/>
          <w:szCs w:val="28"/>
        </w:rPr>
        <w:t>庄村，位于濮阳县政府驻地东南25公里，文留镇政府西南1公里处，全村共有2</w:t>
      </w:r>
      <w:r w:rsidR="001E1702" w:rsidRPr="009D01F3">
        <w:rPr>
          <w:rFonts w:ascii="微软雅黑" w:eastAsia="微软雅黑" w:hAnsi="微软雅黑" w:cs="仿宋_GB2312" w:hint="eastAsia"/>
          <w:sz w:val="28"/>
          <w:szCs w:val="28"/>
        </w:rPr>
        <w:t>76</w:t>
      </w:r>
      <w:r w:rsidRPr="009D01F3">
        <w:rPr>
          <w:rFonts w:ascii="微软雅黑" w:eastAsia="微软雅黑" w:hAnsi="微软雅黑" w:cs="仿宋_GB2312"/>
          <w:sz w:val="28"/>
          <w:szCs w:val="28"/>
        </w:rPr>
        <w:t>户10</w:t>
      </w:r>
      <w:r w:rsidR="001E1702" w:rsidRPr="009D01F3">
        <w:rPr>
          <w:rFonts w:ascii="微软雅黑" w:eastAsia="微软雅黑" w:hAnsi="微软雅黑" w:cs="仿宋_GB2312" w:hint="eastAsia"/>
          <w:sz w:val="28"/>
          <w:szCs w:val="28"/>
        </w:rPr>
        <w:t>67</w:t>
      </w:r>
      <w:r w:rsidRPr="009D01F3">
        <w:rPr>
          <w:rFonts w:ascii="微软雅黑" w:eastAsia="微软雅黑" w:hAnsi="微软雅黑" w:cs="仿宋_GB2312"/>
          <w:sz w:val="28"/>
          <w:szCs w:val="28"/>
        </w:rPr>
        <w:t>人，建档立卡贫困户1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4</w:t>
      </w:r>
      <w:r w:rsidRPr="009D01F3">
        <w:rPr>
          <w:rFonts w:ascii="微软雅黑" w:eastAsia="微软雅黑" w:hAnsi="微软雅黑" w:cs="仿宋_GB2312"/>
          <w:sz w:val="28"/>
          <w:szCs w:val="28"/>
        </w:rPr>
        <w:t>户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26</w:t>
      </w:r>
      <w:r w:rsidRPr="009D01F3">
        <w:rPr>
          <w:rFonts w:ascii="微软雅黑" w:eastAsia="微软雅黑" w:hAnsi="微软雅黑" w:cs="仿宋_GB2312"/>
          <w:sz w:val="28"/>
          <w:szCs w:val="28"/>
        </w:rPr>
        <w:t>人，2017年脱贫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3</w:t>
      </w:r>
      <w:r w:rsidRPr="009D01F3">
        <w:rPr>
          <w:rFonts w:ascii="微软雅黑" w:eastAsia="微软雅黑" w:hAnsi="微软雅黑" w:cs="仿宋_GB2312"/>
          <w:sz w:val="28"/>
          <w:szCs w:val="28"/>
        </w:rPr>
        <w:t>户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7</w:t>
      </w:r>
      <w:r w:rsidRPr="009D01F3">
        <w:rPr>
          <w:rFonts w:ascii="微软雅黑" w:eastAsia="微软雅黑" w:hAnsi="微软雅黑" w:cs="仿宋_GB2312"/>
          <w:sz w:val="28"/>
          <w:szCs w:val="28"/>
        </w:rPr>
        <w:t>人，2018年脱贫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5</w:t>
      </w:r>
      <w:r w:rsidRPr="009D01F3">
        <w:rPr>
          <w:rFonts w:ascii="微软雅黑" w:eastAsia="微软雅黑" w:hAnsi="微软雅黑" w:cs="仿宋_GB2312"/>
          <w:sz w:val="28"/>
          <w:szCs w:val="28"/>
        </w:rPr>
        <w:t>户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13</w:t>
      </w:r>
      <w:r w:rsidRPr="009D01F3">
        <w:rPr>
          <w:rFonts w:ascii="微软雅黑" w:eastAsia="微软雅黑" w:hAnsi="微软雅黑" w:cs="仿宋_GB2312"/>
          <w:sz w:val="28"/>
          <w:szCs w:val="28"/>
        </w:rPr>
        <w:t>人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2019年脱贫4户4人</w:t>
      </w:r>
      <w:r w:rsidRPr="009D01F3">
        <w:rPr>
          <w:rFonts w:ascii="微软雅黑" w:eastAsia="微软雅黑" w:hAnsi="微软雅黑" w:cs="仿宋_GB2312"/>
          <w:sz w:val="28"/>
          <w:szCs w:val="28"/>
        </w:rPr>
        <w:t>。未脱贫2户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2</w:t>
      </w:r>
      <w:r w:rsidRPr="009D01F3">
        <w:rPr>
          <w:rFonts w:ascii="微软雅黑" w:eastAsia="微软雅黑" w:hAnsi="微软雅黑" w:cs="仿宋_GB2312"/>
          <w:sz w:val="28"/>
          <w:szCs w:val="28"/>
        </w:rPr>
        <w:t>人。其中正式党员5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1</w:t>
      </w:r>
      <w:r w:rsidRPr="009D01F3">
        <w:rPr>
          <w:rFonts w:ascii="微软雅黑" w:eastAsia="微软雅黑" w:hAnsi="微软雅黑" w:cs="仿宋_GB2312"/>
          <w:sz w:val="28"/>
          <w:szCs w:val="28"/>
        </w:rPr>
        <w:t>名，预备党员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1</w:t>
      </w:r>
      <w:r w:rsidRPr="009D01F3">
        <w:rPr>
          <w:rFonts w:ascii="微软雅黑" w:eastAsia="微软雅黑" w:hAnsi="微软雅黑" w:cs="仿宋_GB2312"/>
          <w:sz w:val="28"/>
          <w:szCs w:val="28"/>
        </w:rPr>
        <w:t>名，共有耕地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1176</w:t>
      </w:r>
      <w:r w:rsidRPr="009D01F3">
        <w:rPr>
          <w:rFonts w:ascii="微软雅黑" w:eastAsia="微软雅黑" w:hAnsi="微软雅黑" w:cs="仿宋_GB2312"/>
          <w:sz w:val="28"/>
          <w:szCs w:val="28"/>
        </w:rPr>
        <w:t>亩，辖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7</w:t>
      </w:r>
      <w:r w:rsidRPr="009D01F3">
        <w:rPr>
          <w:rFonts w:ascii="微软雅黑" w:eastAsia="微软雅黑" w:hAnsi="微软雅黑" w:cs="仿宋_GB2312"/>
          <w:sz w:val="28"/>
          <w:szCs w:val="28"/>
        </w:rPr>
        <w:t>个村民小组。</w:t>
      </w:r>
      <w:r w:rsidRPr="009D01F3">
        <w:rPr>
          <w:rFonts w:ascii="微软雅黑" w:eastAsia="微软雅黑" w:hAnsi="微软雅黑" w:cs="仿宋_GB2312"/>
          <w:color w:val="000000"/>
          <w:sz w:val="28"/>
          <w:szCs w:val="28"/>
        </w:rPr>
        <w:t>201</w:t>
      </w:r>
      <w:r w:rsidR="0060222B" w:rsidRPr="009D01F3">
        <w:rPr>
          <w:rFonts w:ascii="微软雅黑" w:eastAsia="微软雅黑" w:hAnsi="微软雅黑" w:cs="仿宋_GB2312" w:hint="eastAsia"/>
          <w:color w:val="000000"/>
          <w:sz w:val="28"/>
          <w:szCs w:val="28"/>
        </w:rPr>
        <w:t>9</w:t>
      </w:r>
      <w:r w:rsidRPr="009D01F3">
        <w:rPr>
          <w:rFonts w:ascii="微软雅黑" w:eastAsia="微软雅黑" w:hAnsi="微软雅黑" w:cs="仿宋_GB2312"/>
          <w:color w:val="000000"/>
          <w:sz w:val="28"/>
          <w:szCs w:val="28"/>
        </w:rPr>
        <w:t>年度完成建设情况如下：</w:t>
      </w:r>
    </w:p>
    <w:p w:rsidR="00B41A20" w:rsidRPr="009D01F3" w:rsidRDefault="009F2C34">
      <w:pPr>
        <w:snapToGrid w:val="0"/>
        <w:spacing w:after="160" w:line="203" w:lineRule="auto"/>
        <w:rPr>
          <w:rFonts w:ascii="微软雅黑" w:eastAsia="微软雅黑" w:hAnsi="微软雅黑" w:cs="仿宋_GB2312"/>
          <w:sz w:val="28"/>
          <w:szCs w:val="28"/>
        </w:rPr>
      </w:pPr>
      <w:r w:rsidRPr="009D01F3">
        <w:rPr>
          <w:rFonts w:ascii="微软雅黑" w:eastAsia="微软雅黑" w:hAnsi="微软雅黑" w:cs="仿宋_GB2312"/>
          <w:sz w:val="28"/>
          <w:szCs w:val="28"/>
        </w:rPr>
        <w:t>201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9</w:t>
      </w:r>
      <w:r w:rsidRPr="009D01F3">
        <w:rPr>
          <w:rFonts w:ascii="微软雅黑" w:eastAsia="微软雅黑" w:hAnsi="微软雅黑" w:cs="仿宋_GB2312"/>
          <w:sz w:val="28"/>
          <w:szCs w:val="28"/>
        </w:rPr>
        <w:t>年5月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村内文化广场建设</w:t>
      </w:r>
      <w:r w:rsidRPr="009D01F3">
        <w:rPr>
          <w:rFonts w:ascii="微软雅黑" w:eastAsia="微软雅黑" w:hAnsi="微软雅黑" w:cs="仿宋_GB2312"/>
          <w:sz w:val="28"/>
          <w:szCs w:val="28"/>
        </w:rPr>
        <w:t>;</w:t>
      </w:r>
    </w:p>
    <w:p w:rsidR="00B41A20" w:rsidRPr="009D01F3" w:rsidRDefault="009F2C34">
      <w:pPr>
        <w:snapToGrid w:val="0"/>
        <w:spacing w:after="160" w:line="276" w:lineRule="auto"/>
        <w:rPr>
          <w:rFonts w:ascii="微软雅黑" w:eastAsia="微软雅黑" w:hAnsi="微软雅黑" w:cs="仿宋_GB2312"/>
          <w:sz w:val="28"/>
          <w:szCs w:val="28"/>
        </w:rPr>
      </w:pPr>
      <w:r w:rsidRPr="009D01F3">
        <w:rPr>
          <w:rFonts w:ascii="微软雅黑" w:eastAsia="微软雅黑" w:hAnsi="微软雅黑" w:cs="仿宋_GB2312"/>
          <w:sz w:val="28"/>
          <w:szCs w:val="28"/>
        </w:rPr>
        <w:t>201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9</w:t>
      </w:r>
      <w:r w:rsidRPr="009D01F3">
        <w:rPr>
          <w:rFonts w:ascii="微软雅黑" w:eastAsia="微软雅黑" w:hAnsi="微软雅黑" w:cs="仿宋_GB2312"/>
          <w:sz w:val="28"/>
          <w:szCs w:val="28"/>
        </w:rPr>
        <w:t>年10月</w:t>
      </w:r>
      <w:r w:rsidR="0060222B" w:rsidRPr="009D01F3">
        <w:rPr>
          <w:rFonts w:ascii="微软雅黑" w:eastAsia="微软雅黑" w:hAnsi="微软雅黑" w:cs="仿宋_GB2312"/>
          <w:sz w:val="28"/>
          <w:szCs w:val="28"/>
        </w:rPr>
        <w:t>村内道路建设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;</w:t>
      </w:r>
    </w:p>
    <w:p w:rsidR="00B41A20" w:rsidRPr="009D01F3" w:rsidRDefault="009F2C34">
      <w:pPr>
        <w:snapToGrid w:val="0"/>
        <w:spacing w:after="160" w:line="276" w:lineRule="auto"/>
        <w:rPr>
          <w:rFonts w:ascii="微软雅黑" w:eastAsia="微软雅黑" w:hAnsi="微软雅黑" w:cs="仿宋_GB2312"/>
          <w:sz w:val="28"/>
          <w:szCs w:val="28"/>
        </w:rPr>
      </w:pPr>
      <w:r w:rsidRPr="009D01F3">
        <w:rPr>
          <w:rFonts w:ascii="微软雅黑" w:eastAsia="微软雅黑" w:hAnsi="微软雅黑" w:cs="仿宋_GB2312"/>
          <w:sz w:val="28"/>
          <w:szCs w:val="28"/>
        </w:rPr>
        <w:t>201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9</w:t>
      </w:r>
      <w:r w:rsidRPr="009D01F3">
        <w:rPr>
          <w:rFonts w:ascii="微软雅黑" w:eastAsia="微软雅黑" w:hAnsi="微软雅黑" w:cs="仿宋_GB2312"/>
          <w:sz w:val="28"/>
          <w:szCs w:val="28"/>
        </w:rPr>
        <w:t>年10月完成全村电网改造；</w:t>
      </w:r>
    </w:p>
    <w:p w:rsidR="00B41A20" w:rsidRPr="009D01F3" w:rsidRDefault="009F2C34">
      <w:pPr>
        <w:snapToGrid w:val="0"/>
        <w:spacing w:after="160" w:line="276" w:lineRule="auto"/>
        <w:rPr>
          <w:rFonts w:ascii="微软雅黑" w:eastAsia="微软雅黑" w:hAnsi="微软雅黑" w:cs="仿宋_GB2312"/>
          <w:sz w:val="28"/>
          <w:szCs w:val="28"/>
        </w:rPr>
      </w:pPr>
      <w:r w:rsidRPr="009D01F3">
        <w:rPr>
          <w:rFonts w:ascii="微软雅黑" w:eastAsia="微软雅黑" w:hAnsi="微软雅黑" w:cs="仿宋_GB2312"/>
          <w:sz w:val="28"/>
          <w:szCs w:val="28"/>
        </w:rPr>
        <w:t>201</w:t>
      </w:r>
      <w:r w:rsidR="0060222B" w:rsidRPr="009D01F3">
        <w:rPr>
          <w:rFonts w:ascii="微软雅黑" w:eastAsia="微软雅黑" w:hAnsi="微软雅黑" w:cs="仿宋_GB2312" w:hint="eastAsia"/>
          <w:sz w:val="28"/>
          <w:szCs w:val="28"/>
        </w:rPr>
        <w:t>9</w:t>
      </w:r>
      <w:r w:rsidRPr="009D01F3">
        <w:rPr>
          <w:rFonts w:ascii="微软雅黑" w:eastAsia="微软雅黑" w:hAnsi="微软雅黑" w:cs="仿宋_GB2312"/>
          <w:sz w:val="28"/>
          <w:szCs w:val="28"/>
        </w:rPr>
        <w:t>年11月份完成村</w:t>
      </w:r>
      <w:r w:rsidR="0060222B" w:rsidRPr="009D01F3">
        <w:rPr>
          <w:rFonts w:ascii="微软雅黑" w:eastAsia="微软雅黑" w:hAnsi="微软雅黑" w:cs="仿宋_GB2312"/>
          <w:sz w:val="28"/>
          <w:szCs w:val="28"/>
        </w:rPr>
        <w:t>路灯</w:t>
      </w:r>
      <w:r w:rsidRPr="009D01F3">
        <w:rPr>
          <w:rFonts w:ascii="微软雅黑" w:eastAsia="微软雅黑" w:hAnsi="微软雅黑" w:cs="仿宋_GB2312"/>
          <w:sz w:val="28"/>
          <w:szCs w:val="28"/>
        </w:rPr>
        <w:t>建设；</w:t>
      </w:r>
    </w:p>
    <w:p w:rsidR="00B41A20" w:rsidRPr="009D01F3" w:rsidRDefault="009F2C34">
      <w:pPr>
        <w:snapToGrid w:val="0"/>
        <w:spacing w:after="160" w:line="276" w:lineRule="auto"/>
        <w:rPr>
          <w:rFonts w:ascii="微软雅黑" w:eastAsia="微软雅黑" w:hAnsi="微软雅黑" w:cs="仿宋_GB2312"/>
          <w:sz w:val="28"/>
          <w:szCs w:val="28"/>
        </w:rPr>
      </w:pPr>
      <w:r w:rsidRPr="009D01F3">
        <w:rPr>
          <w:rFonts w:ascii="微软雅黑" w:eastAsia="微软雅黑" w:hAnsi="微软雅黑" w:cs="仿宋_GB2312"/>
          <w:sz w:val="28"/>
          <w:szCs w:val="28"/>
        </w:rPr>
        <w:t>201</w:t>
      </w:r>
      <w:r w:rsidR="00596F1F" w:rsidRPr="009D01F3">
        <w:rPr>
          <w:rFonts w:ascii="微软雅黑" w:eastAsia="微软雅黑" w:hAnsi="微软雅黑" w:cs="仿宋_GB2312" w:hint="eastAsia"/>
          <w:sz w:val="28"/>
          <w:szCs w:val="28"/>
        </w:rPr>
        <w:t>9</w:t>
      </w:r>
      <w:r w:rsidRPr="009D01F3">
        <w:rPr>
          <w:rFonts w:ascii="微软雅黑" w:eastAsia="微软雅黑" w:hAnsi="微软雅黑" w:cs="仿宋_GB2312"/>
          <w:sz w:val="28"/>
          <w:szCs w:val="28"/>
        </w:rPr>
        <w:t>年11月完成</w:t>
      </w:r>
      <w:r w:rsidR="00596F1F" w:rsidRPr="009D01F3">
        <w:rPr>
          <w:rFonts w:ascii="微软雅黑" w:eastAsia="微软雅黑" w:hAnsi="微软雅黑" w:cs="仿宋_GB2312"/>
          <w:sz w:val="28"/>
          <w:szCs w:val="28"/>
        </w:rPr>
        <w:t>东王</w:t>
      </w:r>
      <w:r w:rsidRPr="009D01F3">
        <w:rPr>
          <w:rFonts w:ascii="微软雅黑" w:eastAsia="微软雅黑" w:hAnsi="微软雅黑" w:cs="仿宋_GB2312"/>
          <w:sz w:val="28"/>
          <w:szCs w:val="28"/>
        </w:rPr>
        <w:t>庄村文化大舞台一座（投资20万元）；</w:t>
      </w:r>
    </w:p>
    <w:p w:rsidR="00B41A20" w:rsidRPr="009D01F3" w:rsidRDefault="009F2C34">
      <w:pPr>
        <w:snapToGrid w:val="0"/>
        <w:spacing w:after="160" w:line="276" w:lineRule="auto"/>
        <w:rPr>
          <w:rFonts w:ascii="微软雅黑" w:eastAsia="微软雅黑" w:hAnsi="微软雅黑" w:cs="仿宋_GB2312"/>
          <w:sz w:val="28"/>
          <w:szCs w:val="28"/>
        </w:rPr>
      </w:pPr>
      <w:r w:rsidRPr="009D01F3">
        <w:rPr>
          <w:rFonts w:ascii="微软雅黑" w:eastAsia="微软雅黑" w:hAnsi="微软雅黑" w:cs="仿宋_GB2312"/>
          <w:sz w:val="28"/>
          <w:szCs w:val="28"/>
        </w:rPr>
        <w:t>201</w:t>
      </w:r>
      <w:r w:rsidR="00596F1F" w:rsidRPr="009D01F3">
        <w:rPr>
          <w:rFonts w:ascii="微软雅黑" w:eastAsia="微软雅黑" w:hAnsi="微软雅黑" w:cs="仿宋_GB2312" w:hint="eastAsia"/>
          <w:sz w:val="28"/>
          <w:szCs w:val="28"/>
        </w:rPr>
        <w:t>9</w:t>
      </w:r>
      <w:r w:rsidRPr="009D01F3">
        <w:rPr>
          <w:rFonts w:ascii="微软雅黑" w:eastAsia="微软雅黑" w:hAnsi="微软雅黑" w:cs="仿宋_GB2312"/>
          <w:sz w:val="28"/>
          <w:szCs w:val="28"/>
        </w:rPr>
        <w:t>年底完成脱贫</w:t>
      </w:r>
      <w:r w:rsidR="00596F1F" w:rsidRPr="009D01F3">
        <w:rPr>
          <w:rFonts w:ascii="微软雅黑" w:eastAsia="微软雅黑" w:hAnsi="微软雅黑" w:cs="仿宋_GB2312" w:hint="eastAsia"/>
          <w:sz w:val="28"/>
          <w:szCs w:val="28"/>
        </w:rPr>
        <w:t>4</w:t>
      </w:r>
      <w:r w:rsidRPr="009D01F3">
        <w:rPr>
          <w:rFonts w:ascii="微软雅黑" w:eastAsia="微软雅黑" w:hAnsi="微软雅黑" w:cs="仿宋_GB2312"/>
          <w:sz w:val="28"/>
          <w:szCs w:val="28"/>
        </w:rPr>
        <w:t>户4人；</w:t>
      </w:r>
    </w:p>
    <w:p w:rsidR="00B41A20" w:rsidRPr="009D01F3" w:rsidRDefault="009F2C34">
      <w:pPr>
        <w:snapToGrid w:val="0"/>
        <w:spacing w:after="160" w:line="276" w:lineRule="auto"/>
        <w:rPr>
          <w:rFonts w:ascii="微软雅黑" w:eastAsia="微软雅黑" w:hAnsi="微软雅黑" w:cs="仿宋_GB2312"/>
          <w:sz w:val="28"/>
          <w:szCs w:val="28"/>
        </w:rPr>
      </w:pPr>
      <w:r w:rsidRPr="009D01F3">
        <w:rPr>
          <w:rFonts w:ascii="微软雅黑" w:eastAsia="微软雅黑" w:hAnsi="微软雅黑" w:cs="仿宋_GB2312"/>
          <w:sz w:val="28"/>
          <w:szCs w:val="28"/>
        </w:rPr>
        <w:t>201</w:t>
      </w:r>
      <w:r w:rsidR="00596F1F" w:rsidRPr="009D01F3">
        <w:rPr>
          <w:rFonts w:ascii="微软雅黑" w:eastAsia="微软雅黑" w:hAnsi="微软雅黑" w:cs="仿宋_GB2312" w:hint="eastAsia"/>
          <w:sz w:val="28"/>
          <w:szCs w:val="28"/>
        </w:rPr>
        <w:t>9</w:t>
      </w:r>
      <w:r w:rsidRPr="009D01F3">
        <w:rPr>
          <w:rFonts w:ascii="微软雅黑" w:eastAsia="微软雅黑" w:hAnsi="微软雅黑" w:cs="仿宋_GB2312"/>
          <w:sz w:val="28"/>
          <w:szCs w:val="28"/>
        </w:rPr>
        <w:t>年接受转正党员1名,发展党员2名;</w:t>
      </w:r>
    </w:p>
    <w:p w:rsidR="00B41A20" w:rsidRDefault="00596F1F" w:rsidP="009D01F3">
      <w:pPr>
        <w:autoSpaceDE w:val="0"/>
        <w:autoSpaceDN w:val="0"/>
        <w:spacing w:line="276" w:lineRule="auto"/>
        <w:ind w:firstLine="624"/>
        <w:rPr>
          <w:rFonts w:ascii="微软雅黑" w:eastAsia="微软雅黑" w:hAnsi="微软雅黑" w:cs="仿宋_GB2312"/>
          <w:color w:val="333333"/>
          <w:spacing w:val="8"/>
          <w:sz w:val="28"/>
          <w:szCs w:val="28"/>
        </w:rPr>
      </w:pPr>
      <w:r w:rsidRPr="009D01F3">
        <w:rPr>
          <w:rFonts w:ascii="微软雅黑" w:eastAsia="微软雅黑" w:hAnsi="微软雅黑" w:cs="仿宋_GB2312"/>
          <w:color w:val="333333"/>
          <w:spacing w:val="8"/>
          <w:sz w:val="28"/>
          <w:szCs w:val="28"/>
        </w:rPr>
        <w:t>东王</w:t>
      </w:r>
      <w:r w:rsidR="009F2C34" w:rsidRPr="009D01F3">
        <w:rPr>
          <w:rFonts w:ascii="微软雅黑" w:eastAsia="微软雅黑" w:hAnsi="微软雅黑" w:cs="仿宋_GB2312"/>
          <w:color w:val="333333"/>
          <w:spacing w:val="8"/>
          <w:sz w:val="28"/>
          <w:szCs w:val="28"/>
        </w:rPr>
        <w:t>庄村为美化环境，建设美丽乡村。</w:t>
      </w:r>
      <w:r w:rsidR="009F2C34" w:rsidRPr="009D01F3">
        <w:rPr>
          <w:rFonts w:ascii="微软雅黑" w:eastAsia="微软雅黑" w:hAnsi="微软雅黑" w:cs="仿宋_GB2312"/>
          <w:color w:val="000000"/>
          <w:sz w:val="28"/>
          <w:szCs w:val="28"/>
        </w:rPr>
        <w:t>投放生活垃圾桶40余个，垃圾定点存放。为减少垃圾污染，保障人体健康，达到村内环境净化的目，村内成立了一支有1</w:t>
      </w:r>
      <w:r w:rsidRPr="009D01F3">
        <w:rPr>
          <w:rFonts w:ascii="微软雅黑" w:eastAsia="微软雅黑" w:hAnsi="微软雅黑" w:cs="仿宋_GB2312" w:hint="eastAsia"/>
          <w:color w:val="000000"/>
          <w:sz w:val="28"/>
          <w:szCs w:val="28"/>
        </w:rPr>
        <w:t>6</w:t>
      </w:r>
      <w:r w:rsidR="009F2C34" w:rsidRPr="009D01F3">
        <w:rPr>
          <w:rFonts w:ascii="微软雅黑" w:eastAsia="微软雅黑" w:hAnsi="微软雅黑" w:cs="仿宋_GB2312"/>
          <w:color w:val="000000"/>
          <w:sz w:val="28"/>
          <w:szCs w:val="28"/>
        </w:rPr>
        <w:t>人组成的环卫队，每天早晚两次的对道路进行清扫，做到了日产日清，定点存放的垃圾清运率达100％。全村对处理生活垃圾进行规范化管理，生活垃圾分类处理，有效减少了对环境的污染，环境质量得到有效改善，无害化处理率达100％。</w:t>
      </w:r>
      <w:r w:rsidR="009F2C34" w:rsidRPr="009D01F3">
        <w:rPr>
          <w:rFonts w:ascii="微软雅黑" w:eastAsia="微软雅黑" w:hAnsi="微软雅黑" w:cs="仿宋_GB2312"/>
          <w:color w:val="333333"/>
          <w:spacing w:val="8"/>
          <w:sz w:val="28"/>
          <w:szCs w:val="28"/>
        </w:rPr>
        <w:t>并有专人管理，村容村貌焕然一新。</w:t>
      </w:r>
    </w:p>
    <w:p w:rsidR="009D01F3" w:rsidRDefault="00DA08F3" w:rsidP="00DA08F3">
      <w:pPr>
        <w:autoSpaceDE w:val="0"/>
        <w:autoSpaceDN w:val="0"/>
        <w:spacing w:line="276" w:lineRule="auto"/>
        <w:ind w:firstLine="624"/>
        <w:rPr>
          <w:rFonts w:ascii="微软雅黑" w:eastAsia="微软雅黑" w:hAnsi="微软雅黑" w:cs="仿宋_GB2312" w:hint="eastAsia"/>
          <w:color w:val="333333"/>
          <w:spacing w:val="8"/>
          <w:sz w:val="28"/>
          <w:szCs w:val="28"/>
        </w:rPr>
      </w:pPr>
      <w:r>
        <w:rPr>
          <w:rFonts w:ascii="微软雅黑" w:eastAsia="微软雅黑" w:hAnsi="微软雅黑" w:cs="仿宋_GB2312" w:hint="eastAsia"/>
          <w:color w:val="333333"/>
          <w:spacing w:val="8"/>
          <w:sz w:val="28"/>
          <w:szCs w:val="28"/>
        </w:rPr>
        <w:t xml:space="preserve">                              </w:t>
      </w:r>
      <w:r w:rsidR="009D01F3">
        <w:rPr>
          <w:rFonts w:ascii="微软雅黑" w:eastAsia="微软雅黑" w:hAnsi="微软雅黑" w:cs="仿宋_GB2312" w:hint="eastAsia"/>
          <w:color w:val="333333"/>
          <w:spacing w:val="8"/>
          <w:sz w:val="28"/>
          <w:szCs w:val="28"/>
        </w:rPr>
        <w:t>文留镇东王庄村</w:t>
      </w:r>
    </w:p>
    <w:p w:rsidR="00DA08F3" w:rsidRPr="009D01F3" w:rsidRDefault="00DA08F3" w:rsidP="00DA08F3">
      <w:pPr>
        <w:autoSpaceDE w:val="0"/>
        <w:autoSpaceDN w:val="0"/>
        <w:spacing w:line="276" w:lineRule="auto"/>
        <w:ind w:firstLine="624"/>
        <w:rPr>
          <w:rFonts w:ascii="微软雅黑" w:eastAsia="微软雅黑" w:hAnsi="微软雅黑" w:cs="仿宋_GB2312"/>
          <w:color w:val="333333"/>
          <w:spacing w:val="8"/>
          <w:sz w:val="28"/>
          <w:szCs w:val="28"/>
        </w:rPr>
      </w:pPr>
      <w:r>
        <w:rPr>
          <w:rFonts w:ascii="微软雅黑" w:eastAsia="微软雅黑" w:hAnsi="微软雅黑" w:cs="仿宋_GB2312" w:hint="eastAsia"/>
          <w:color w:val="333333"/>
          <w:spacing w:val="8"/>
          <w:sz w:val="28"/>
          <w:szCs w:val="28"/>
        </w:rPr>
        <w:t xml:space="preserve">                              2020.7.1</w:t>
      </w:r>
    </w:p>
    <w:sectPr w:rsidR="00DA08F3" w:rsidRPr="009D01F3" w:rsidSect="00B41A20">
      <w:pgSz w:w="11906" w:h="16838"/>
      <w:pgMar w:top="1191" w:right="850" w:bottom="1191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3E" w:rsidRDefault="005B413E" w:rsidP="00DA08F3">
      <w:r>
        <w:separator/>
      </w:r>
    </w:p>
  </w:endnote>
  <w:endnote w:type="continuationSeparator" w:id="0">
    <w:p w:rsidR="005B413E" w:rsidRDefault="005B413E" w:rsidP="00DA0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3E" w:rsidRDefault="005B413E" w:rsidP="00DA08F3">
      <w:r>
        <w:separator/>
      </w:r>
    </w:p>
  </w:footnote>
  <w:footnote w:type="continuationSeparator" w:id="0">
    <w:p w:rsidR="005B413E" w:rsidRDefault="005B413E" w:rsidP="00DA0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multilevel"/>
    <w:tmpl w:val="DF10E6F8"/>
    <w:lvl w:ilvl="0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</w:lvl>
    <w:lvl w:ilvl="1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2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3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4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5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6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7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8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</w:abstractNum>
  <w:abstractNum w:abstractNumId="1">
    <w:nsid w:val="2F000001"/>
    <w:multiLevelType w:val="multilevel"/>
    <w:tmpl w:val="53542BDE"/>
    <w:lvl w:ilvl="0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Calibri" w:eastAsia="宋体" w:hAnsi="Calibri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2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3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4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5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6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7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  <w:lvl w:ilvl="8">
      <w:start w:val="1"/>
      <w:numFmt w:val="decimal"/>
      <w:lvlText w:val="%1."/>
      <w:lvlJc w:val="left"/>
      <w:pPr>
        <w:tabs>
          <w:tab w:val="left" w:pos="312"/>
        </w:tabs>
        <w:ind w:left="315" w:firstLine="0"/>
        <w:jc w:val="both"/>
      </w:pPr>
      <w:rPr>
        <w:rFonts w:ascii="宋体" w:eastAsia="宋体" w:hAnsi="宋体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B41A20"/>
    <w:rsid w:val="001B1048"/>
    <w:rsid w:val="001B1385"/>
    <w:rsid w:val="001E1702"/>
    <w:rsid w:val="00257954"/>
    <w:rsid w:val="002627DA"/>
    <w:rsid w:val="00596F1F"/>
    <w:rsid w:val="005B413E"/>
    <w:rsid w:val="0060222B"/>
    <w:rsid w:val="00616C36"/>
    <w:rsid w:val="009D01F3"/>
    <w:rsid w:val="009F2C34"/>
    <w:rsid w:val="00B41A20"/>
    <w:rsid w:val="00DA08F3"/>
    <w:rsid w:val="00EA69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A20"/>
    <w:pPr>
      <w:wordWrap w:val="0"/>
      <w:jc w:val="both"/>
    </w:pPr>
    <w:rPr>
      <w:sz w:val="21"/>
      <w:szCs w:val="21"/>
    </w:rPr>
  </w:style>
  <w:style w:type="paragraph" w:styleId="1">
    <w:name w:val="heading 1"/>
    <w:uiPriority w:val="7"/>
    <w:qFormat/>
    <w:rsid w:val="00B41A20"/>
    <w:pPr>
      <w:wordWrap w:val="0"/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B41A20"/>
    <w:pPr>
      <w:wordWrap w:val="0"/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B41A20"/>
    <w:pPr>
      <w:wordWrap w:val="0"/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B41A20"/>
    <w:pPr>
      <w:wordWrap w:val="0"/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B41A20"/>
    <w:pPr>
      <w:wordWrap w:val="0"/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B41A20"/>
    <w:pPr>
      <w:wordWrap w:val="0"/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B41A20"/>
    <w:pPr>
      <w:wordWrap w:val="0"/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B41A20"/>
    <w:pPr>
      <w:wordWrap w:val="0"/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B41A20"/>
    <w:pPr>
      <w:wordWrap w:val="0"/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B41A20"/>
    <w:pPr>
      <w:wordWrap w:val="0"/>
      <w:jc w:val="both"/>
    </w:pPr>
    <w:rPr>
      <w:sz w:val="21"/>
      <w:szCs w:val="21"/>
    </w:rPr>
  </w:style>
  <w:style w:type="paragraph" w:styleId="a4">
    <w:name w:val="Title"/>
    <w:uiPriority w:val="6"/>
    <w:qFormat/>
    <w:rsid w:val="00B41A20"/>
    <w:pPr>
      <w:wordWrap w:val="0"/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B41A20"/>
    <w:pPr>
      <w:wordWrap w:val="0"/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B41A20"/>
    <w:rPr>
      <w:i/>
      <w:color w:val="404040"/>
      <w:sz w:val="21"/>
      <w:szCs w:val="21"/>
    </w:rPr>
  </w:style>
  <w:style w:type="character" w:styleId="a7">
    <w:name w:val="Emphasis"/>
    <w:uiPriority w:val="18"/>
    <w:qFormat/>
    <w:rsid w:val="00B41A20"/>
    <w:rPr>
      <w:i/>
      <w:sz w:val="21"/>
      <w:szCs w:val="21"/>
    </w:rPr>
  </w:style>
  <w:style w:type="character" w:styleId="a8">
    <w:name w:val="Intense Emphasis"/>
    <w:uiPriority w:val="19"/>
    <w:qFormat/>
    <w:rsid w:val="00B41A20"/>
    <w:rPr>
      <w:i/>
      <w:color w:val="5B9BD5"/>
      <w:sz w:val="21"/>
      <w:szCs w:val="21"/>
    </w:rPr>
  </w:style>
  <w:style w:type="character" w:styleId="a9">
    <w:name w:val="Strong"/>
    <w:uiPriority w:val="20"/>
    <w:qFormat/>
    <w:rsid w:val="00B41A20"/>
    <w:rPr>
      <w:b/>
      <w:sz w:val="21"/>
      <w:szCs w:val="21"/>
    </w:rPr>
  </w:style>
  <w:style w:type="paragraph" w:styleId="aa">
    <w:name w:val="Quote"/>
    <w:uiPriority w:val="21"/>
    <w:qFormat/>
    <w:rsid w:val="00B41A20"/>
    <w:pPr>
      <w:wordWrap w:val="0"/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B41A20"/>
    <w:pPr>
      <w:wordWrap w:val="0"/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B41A20"/>
    <w:rPr>
      <w:smallCaps/>
      <w:color w:val="5A5A5A"/>
      <w:sz w:val="21"/>
      <w:szCs w:val="21"/>
    </w:rPr>
  </w:style>
  <w:style w:type="character" w:styleId="ad">
    <w:name w:val="Intense Reference"/>
    <w:uiPriority w:val="24"/>
    <w:qFormat/>
    <w:rsid w:val="00B41A20"/>
    <w:rPr>
      <w:b/>
      <w:smallCaps/>
      <w:color w:val="5B9BD5"/>
      <w:sz w:val="21"/>
      <w:szCs w:val="21"/>
    </w:rPr>
  </w:style>
  <w:style w:type="character" w:styleId="ae">
    <w:name w:val="Book Title"/>
    <w:uiPriority w:val="25"/>
    <w:qFormat/>
    <w:rsid w:val="00B41A20"/>
    <w:rPr>
      <w:b/>
      <w:i/>
      <w:sz w:val="21"/>
      <w:szCs w:val="21"/>
    </w:rPr>
  </w:style>
  <w:style w:type="paragraph" w:styleId="af">
    <w:name w:val="List Paragraph"/>
    <w:uiPriority w:val="26"/>
    <w:qFormat/>
    <w:rsid w:val="00B41A20"/>
    <w:pPr>
      <w:wordWrap w:val="0"/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B41A20"/>
    <w:pPr>
      <w:wordWrap w:val="0"/>
    </w:pPr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B41A20"/>
    <w:pPr>
      <w:wordWrap w:val="0"/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B41A20"/>
    <w:pPr>
      <w:wordWrap w:val="0"/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B41A20"/>
    <w:pPr>
      <w:wordWrap w:val="0"/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B41A20"/>
    <w:pPr>
      <w:wordWrap w:val="0"/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B41A20"/>
    <w:pPr>
      <w:wordWrap w:val="0"/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B41A20"/>
    <w:pPr>
      <w:wordWrap w:val="0"/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B41A20"/>
    <w:pPr>
      <w:wordWrap w:val="0"/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B41A20"/>
    <w:pPr>
      <w:wordWrap w:val="0"/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B41A20"/>
    <w:pPr>
      <w:wordWrap w:val="0"/>
      <w:ind w:left="3400"/>
      <w:jc w:val="both"/>
    </w:pPr>
    <w:rPr>
      <w:sz w:val="21"/>
      <w:szCs w:val="21"/>
    </w:rPr>
  </w:style>
  <w:style w:type="paragraph" w:styleId="af0">
    <w:name w:val="header"/>
    <w:basedOn w:val="a"/>
    <w:link w:val="Char"/>
    <w:uiPriority w:val="99"/>
    <w:semiHidden/>
    <w:unhideWhenUsed/>
    <w:rsid w:val="00DA0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semiHidden/>
    <w:rsid w:val="00DA08F3"/>
    <w:rPr>
      <w:sz w:val="18"/>
      <w:szCs w:val="18"/>
    </w:rPr>
  </w:style>
  <w:style w:type="paragraph" w:styleId="af1">
    <w:name w:val="footer"/>
    <w:basedOn w:val="a"/>
    <w:link w:val="Char0"/>
    <w:uiPriority w:val="99"/>
    <w:semiHidden/>
    <w:unhideWhenUsed/>
    <w:rsid w:val="00DA0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semiHidden/>
    <w:rsid w:val="00DA08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496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晨曦</dc:creator>
  <cp:lastModifiedBy>Administrator</cp:lastModifiedBy>
  <cp:revision>11</cp:revision>
  <dcterms:created xsi:type="dcterms:W3CDTF">2019-11-27T07:53:00Z</dcterms:created>
  <dcterms:modified xsi:type="dcterms:W3CDTF">2020-07-05T12:50:00Z</dcterms:modified>
</cp:coreProperties>
</file>